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000125"/>
            <wp:docPr id="1" name="Fissile Criticality Safety Index"/>
            <a:graphic>
              <a:graphicData uri="http://schemas.openxmlformats.org/drawingml/2006/picture">
                <pic:pic>
                  <pic:nvPicPr>
                    <pic:cNvPr id="1" name="Fissile Criticality Safety Inde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