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981075"/>
            <wp:docPr id="1" name="ADR pictogram 2.2-Non-toxic and non-flammable gases"/>
            <a:graphic>
              <a:graphicData uri="http://schemas.openxmlformats.org/drawingml/2006/picture">
                <pic:pic>
                  <pic:nvPicPr>
                    <pic:cNvPr id="1" name="ADR pictogram 2.2-Non-toxic and non-flammable ga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