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98379"/>
            <wp:docPr id="1" name="Reaktion wasserfreies Kupfersulfat mit Wasser"/>
            <a:graphic>
              <a:graphicData uri="http://schemas.openxmlformats.org/drawingml/2006/picture">
                <pic:pic>
                  <pic:nvPicPr>
                    <pic:cNvPr id="1" name="Reaktion wasserfreies Kupfersulfat mit Wass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98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