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7115"/>
            <wp:docPr id="1" name="Aqueous humor pathway"/>
            <a:graphic>
              <a:graphicData uri="http://schemas.openxmlformats.org/drawingml/2006/picture">
                <pic:pic>
                  <pic:nvPicPr>
                    <pic:cNvPr id="1" name="Aqueous humor pat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