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1031"/>
            <wp:docPr id="1" name="Single Language, Dual Language, and Dense Code: Switching Context"/>
            <a:graphic>
              <a:graphicData uri="http://schemas.openxmlformats.org/drawingml/2006/picture">
                <pic:pic>
                  <pic:nvPicPr>
                    <pic:cNvPr id="1" name="Single Language, Dual Language, and Dense Code: Switching Con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