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1482"/>
            <wp:docPr id="1" name="Prismatic Gender Equality Male And Female Figures 2"/>
            <a:graphic>
              <a:graphicData uri="http://schemas.openxmlformats.org/drawingml/2006/picture">
                <pic:pic>
                  <pic:nvPicPr>
                    <pic:cNvPr id="1" name="Prismatic Gender Equality Male And Female Figur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