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414"/>
            <wp:docPr id="1" name="Robotic Maze Coloring for Adults"/>
            <a:graphic>
              <a:graphicData uri="http://schemas.openxmlformats.org/drawingml/2006/picture">
                <pic:pic>
                  <pic:nvPicPr>
                    <pic:cNvPr id="1" name="Robotic Maze Coloring for Adu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