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2211"/>
            <wp:docPr id="1" name="Mapa de Medellín con barrios, comunas y zonas"/>
            <a:graphic>
              <a:graphicData uri="http://schemas.openxmlformats.org/drawingml/2006/picture">
                <pic:pic>
                  <pic:nvPicPr>
                    <pic:cNvPr id="1" name="Mapa de Medellín con barrios, comunas y zon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