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7468"/>
            <wp:docPr id="1" name="Skala richtig ablesen (gelbe Flüssigkeit) - Skala von oben nach unten"/>
            <a:graphic>
              <a:graphicData uri="http://schemas.openxmlformats.org/drawingml/2006/picture">
                <pic:pic>
                  <pic:nvPicPr>
                    <pic:cNvPr id="1" name="Skala richtig ablesen (gelbe Flüssigkeit) - Skala von oben nach un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