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0764"/>
            <wp:docPr id="1" name="Bunsenbrenner-Flamme untersuchen - Lösung"/>
            <a:graphic>
              <a:graphicData uri="http://schemas.openxmlformats.org/drawingml/2006/picture">
                <pic:pic>
                  <pic:nvPicPr>
                    <pic:cNvPr id="1" name="Bunsenbrenner-Flamme untersuchen - Lös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