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601"/>
            <wp:docPr id="1" name="The Three Sources and Three Component Parts of Marxism"/>
            <a:graphic>
              <a:graphicData uri="http://schemas.openxmlformats.org/drawingml/2006/picture">
                <pic:pic>
                  <pic:nvPicPr>
                    <pic:cNvPr id="1" name="The Three Sources and Three Component Parts of Marx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