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04676"/>
            <wp:docPr id="1" name="Positional Language for the Dishwasher"/>
            <a:graphic>
              <a:graphicData uri="http://schemas.openxmlformats.org/drawingml/2006/picture">
                <pic:pic>
                  <pic:nvPicPr>
                    <pic:cNvPr id="1" name="Positional Language for the Dishwash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04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